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979"/>
        <w:tblW w:w="9356" w:type="dxa"/>
        <w:tblInd w:w="0" w:type="dxa"/>
        <w:tblLayout w:type="autofit"/>
        <w:tblCellMar>
          <w:top w:w="0" w:type="dxa"/>
          <w:left w:w="108" w:type="dxa"/>
          <w:bottom w:w="0" w:type="dxa"/>
          <w:right w:w="108" w:type="dxa"/>
        </w:tblCellMar>
      </w:tblPr>
      <w:tblGrid>
        <w:gridCol w:w="3261"/>
        <w:gridCol w:w="6095"/>
      </w:tblGrid>
      <w:tr w14:paraId="608808B6">
        <w:tblPrEx>
          <w:tblCellMar>
            <w:top w:w="0" w:type="dxa"/>
            <w:left w:w="108" w:type="dxa"/>
            <w:bottom w:w="0" w:type="dxa"/>
            <w:right w:w="108" w:type="dxa"/>
          </w:tblCellMar>
        </w:tblPrEx>
        <w:tc>
          <w:tcPr>
            <w:tcW w:w="3261" w:type="dxa"/>
          </w:tcPr>
          <w:p w14:paraId="2C2C8DA3">
            <w:pPr>
              <w:jc w:val="center"/>
              <w:rPr>
                <w:b/>
                <w:sz w:val="28"/>
                <w:szCs w:val="28"/>
              </w:rPr>
            </w:pPr>
            <w:r>
              <w:rPr>
                <w:b/>
                <w:sz w:val="28"/>
                <w:szCs w:val="28"/>
              </w:rPr>
              <w:t>ỦY BAN NHÂN DÂN</w:t>
            </w:r>
          </w:p>
          <w:p w14:paraId="444261A2">
            <w:pPr>
              <w:jc w:val="center"/>
              <w:rPr>
                <w:b/>
                <w:sz w:val="28"/>
                <w:szCs w:val="28"/>
              </w:rPr>
            </w:pPr>
            <w:r>
              <w:rPr>
                <w:b/>
                <w:sz w:val="28"/>
                <w:szCs w:val="28"/>
              </w:rPr>
              <w:t>TỈNH KHÁNH HÒA</w:t>
            </w:r>
          </w:p>
          <w:p w14:paraId="41A85F44">
            <w:pPr>
              <w:jc w:val="center"/>
              <w:rPr>
                <w:b/>
                <w:sz w:val="28"/>
                <w:szCs w:val="28"/>
              </w:rPr>
            </w:pPr>
            <w:r>
              <w:rPr>
                <w:b/>
                <w:sz w:val="28"/>
                <w:szCs w:val="28"/>
              </w:rPr>
              <mc:AlternateContent>
                <mc:Choice Requires="wps">
                  <w:drawing>
                    <wp:anchor distT="0" distB="0" distL="114300" distR="114300" simplePos="0" relativeHeight="251660288" behindDoc="0" locked="0" layoutInCell="1" allowOverlap="1">
                      <wp:simplePos x="0" y="0"/>
                      <wp:positionH relativeFrom="column">
                        <wp:posOffset>607695</wp:posOffset>
                      </wp:positionH>
                      <wp:positionV relativeFrom="paragraph">
                        <wp:posOffset>58420</wp:posOffset>
                      </wp:positionV>
                      <wp:extent cx="593725" cy="0"/>
                      <wp:effectExtent l="0" t="0" r="0" b="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47.85pt;margin-top:4.6pt;height:0pt;width:46.75pt;z-index:251660288;mso-width-relative:page;mso-height-relative:page;" filled="f" stroked="t" coordsize="21600,21600" o:gfxdata="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QFgGE0gAAAAYBAAAPAAAAAAAAAAEAIAAAACIAAABkcnMvZG93bnJldi54&#10;bWxQSwECFAAUAAAACACHTuJA/s0qB8cBAACeAwAADgAAAAAAAAABACAAAAAhAQAAZHJzL2Uyb0Rv&#10;Yy54bWxQSwUGAAAAAAYABgBZAQAAWgUAAAAA&#10;">
                      <v:fill on="f" focussize="0,0"/>
                      <v:stroke color="#000000" joinstyle="round"/>
                      <v:imagedata o:title=""/>
                      <o:lock v:ext="edit" aspectratio="f"/>
                    </v:line>
                  </w:pict>
                </mc:Fallback>
              </mc:AlternateContent>
            </w:r>
          </w:p>
          <w:p w14:paraId="735B7E41">
            <w:pPr>
              <w:jc w:val="center"/>
              <w:rPr>
                <w:sz w:val="28"/>
                <w:szCs w:val="28"/>
              </w:rPr>
            </w:pPr>
            <w:r>
              <w:rPr>
                <w:sz w:val="28"/>
                <w:szCs w:val="28"/>
              </w:rPr>
              <w:t>Số:        /2025/QĐ-UBND</w:t>
            </w:r>
          </w:p>
          <w:p w14:paraId="1807798E">
            <w:pPr>
              <w:jc w:val="center"/>
              <w:rPr>
                <w:b/>
                <w:sz w:val="28"/>
                <w:szCs w:val="28"/>
              </w:rPr>
            </w:pPr>
          </w:p>
        </w:tc>
        <w:tc>
          <w:tcPr>
            <w:tcW w:w="6095" w:type="dxa"/>
          </w:tcPr>
          <w:p w14:paraId="71CEEC76">
            <w:pPr>
              <w:jc w:val="center"/>
              <w:rPr>
                <w:b/>
                <w:sz w:val="28"/>
                <w:szCs w:val="28"/>
              </w:rPr>
            </w:pPr>
            <w:r>
              <w:rPr>
                <w:b/>
                <w:sz w:val="28"/>
                <w:szCs w:val="28"/>
              </w:rPr>
              <w:t>CỘNG HÒA XÃ HỘI CHỦ NGHĨA VIỆT NAM</w:t>
            </w:r>
          </w:p>
          <w:p w14:paraId="2A526DB2">
            <w:pPr>
              <w:jc w:val="center"/>
              <w:rPr>
                <w:b/>
                <w:sz w:val="28"/>
                <w:szCs w:val="28"/>
              </w:rPr>
            </w:pPr>
            <w:r>
              <w:rPr>
                <w:b/>
                <w:sz w:val="28"/>
                <w:szCs w:val="28"/>
              </w:rPr>
              <w:t>Độc lập - Tự do - Hạnh phúc</w:t>
            </w:r>
          </w:p>
          <w:p w14:paraId="3746FED6">
            <w:pPr>
              <w:jc w:val="center"/>
              <w:rPr>
                <w:b/>
                <w:sz w:val="28"/>
                <w:szCs w:val="28"/>
              </w:rPr>
            </w:pPr>
            <w:r>
              <w:rPr>
                <w:b/>
                <w:sz w:val="28"/>
                <w:szCs w:val="28"/>
              </w:rPr>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24765</wp:posOffset>
                      </wp:positionV>
                      <wp:extent cx="2018665" cy="0"/>
                      <wp:effectExtent l="13335" t="5715" r="6350" b="13335"/>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61.05pt;margin-top:1.95pt;height:0pt;width:158.95pt;z-index:251659264;mso-width-relative:page;mso-height-relative:page;" filled="f" stroked="t" coordsize="21600,21600" o:gfxdata="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OvCJfTAAAABwEAAA8AAAAAAAAAAQAgAAAAIgAAAGRycy9kb3ducmV2&#10;LnhtbFBLAQIUABQAAAAIAIdO4kBSxTaEyAEAAJ8DAAAOAAAAAAAAAAEAIAAAACIBAABkcnMvZTJv&#10;RG9jLnhtbFBLBQYAAAAABgAGAFkBAABcBQAAAAA=&#10;">
                      <v:fill on="f" focussize="0,0"/>
                      <v:stroke color="#000000" joinstyle="round"/>
                      <v:imagedata o:title=""/>
                      <o:lock v:ext="edit" aspectratio="f"/>
                    </v:line>
                  </w:pict>
                </mc:Fallback>
              </mc:AlternateContent>
            </w:r>
          </w:p>
          <w:p w14:paraId="39AB21EC">
            <w:pPr>
              <w:jc w:val="center"/>
              <w:rPr>
                <w:i/>
                <w:sz w:val="28"/>
                <w:szCs w:val="28"/>
                <w:lang w:val="vi-VN"/>
              </w:rPr>
            </w:pPr>
            <w:r>
              <w:rPr>
                <w:i/>
                <w:sz w:val="28"/>
                <w:szCs w:val="28"/>
              </w:rPr>
              <w:t>Khánh Hòa, ngày      tháng    năm 2025</w:t>
            </w:r>
          </w:p>
          <w:p w14:paraId="75412DD4">
            <w:pPr>
              <w:jc w:val="right"/>
              <w:rPr>
                <w:i/>
                <w:sz w:val="28"/>
                <w:szCs w:val="28"/>
              </w:rPr>
            </w:pPr>
            <w:r>
              <w:rPr>
                <w:i/>
                <w:sz w:val="28"/>
                <w:szCs w:val="28"/>
              </w:rPr>
              <w:t xml:space="preserve"> </w:t>
            </w:r>
          </w:p>
        </w:tc>
      </w:tr>
    </w:tbl>
    <w:p w14:paraId="5DC32121">
      <w:pPr>
        <w:rPr>
          <w:b/>
          <w:sz w:val="2"/>
          <w:szCs w:val="2"/>
        </w:rPr>
      </w:pPr>
    </w:p>
    <w:p w14:paraId="21DAE839">
      <w:pPr>
        <w:jc w:val="center"/>
        <w:rPr>
          <w:b/>
          <w:sz w:val="28"/>
          <w:szCs w:val="28"/>
        </w:rPr>
      </w:pPr>
    </w:p>
    <w:p w14:paraId="684C0F83">
      <w:pPr>
        <w:jc w:val="center"/>
        <w:rPr>
          <w:b/>
          <w:sz w:val="28"/>
          <w:szCs w:val="28"/>
        </w:rPr>
      </w:pPr>
      <w:r>
        <w:rPr>
          <w:b/>
          <w:sz w:val="28"/>
          <w:szCs w:val="28"/>
        </w:rPr>
        <w:t>QUYẾT ĐỊNH</w:t>
      </w:r>
    </w:p>
    <w:p w14:paraId="48FC0CB3">
      <w:pPr>
        <w:jc w:val="center"/>
        <w:rPr>
          <w:b/>
          <w:sz w:val="28"/>
          <w:szCs w:val="28"/>
        </w:rPr>
      </w:pPr>
      <w:r>
        <w:rPr>
          <w:b/>
          <w:sz w:val="28"/>
          <w:szCs w:val="28"/>
        </w:rPr>
        <w:t xml:space="preserve">Về việc chuyển giao thẩm quyền chứng thực giao dịch từ </w:t>
      </w:r>
      <w:r>
        <w:rPr>
          <w:rFonts w:hint="default"/>
          <w:b/>
          <w:sz w:val="28"/>
          <w:szCs w:val="28"/>
          <w:lang w:val="en-US"/>
        </w:rPr>
        <w:t xml:space="preserve">Chủ tịch </w:t>
      </w:r>
      <w:r>
        <w:rPr>
          <w:b/>
          <w:sz w:val="28"/>
          <w:szCs w:val="28"/>
        </w:rPr>
        <w:t>Ủy ban nhân dân cấp xã sang tổ chức hành nghề công chứng trên địa bàn tỉnh Khánh Hòa</w:t>
      </w:r>
    </w:p>
    <w:p w14:paraId="08800F64">
      <w:pPr>
        <w:jc w:val="center"/>
        <w:rPr>
          <w:b/>
          <w:sz w:val="28"/>
          <w:szCs w:val="28"/>
        </w:rPr>
      </w:pPr>
    </w:p>
    <w:p w14:paraId="33DB1312">
      <w:pPr>
        <w:jc w:val="center"/>
        <w:rPr>
          <w:b/>
          <w:sz w:val="28"/>
          <w:szCs w:val="28"/>
        </w:rPr>
      </w:pPr>
      <w:r>
        <w:rPr>
          <w:color w:val="0000FF"/>
          <w:sz w:val="28"/>
          <w:szCs w:val="28"/>
        </w:rPr>
        <w:tab/>
      </w:r>
    </w:p>
    <w:p w14:paraId="6B357C08">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i/>
          <w:sz w:val="28"/>
          <w:szCs w:val="28"/>
        </w:rPr>
      </w:pPr>
      <w:r>
        <w:rPr>
          <w:i/>
          <w:sz w:val="28"/>
          <w:szCs w:val="28"/>
        </w:rPr>
        <w:t>Căn cứ Luật Tổ chức chính quyền địa phương ngày 16/6/2025;</w:t>
      </w:r>
    </w:p>
    <w:p w14:paraId="3EC90E86">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i/>
          <w:sz w:val="28"/>
          <w:szCs w:val="28"/>
        </w:rPr>
      </w:pPr>
      <w:r>
        <w:rPr>
          <w:i/>
          <w:sz w:val="28"/>
          <w:szCs w:val="28"/>
        </w:rPr>
        <w:t xml:space="preserve">Căn cứ Luật Ban hành văn bản quy phạm pháp luật ngày 19/02/2025; Luật sửa đổi, bổ sung một số điều của Luật Ban hành văn bản quy phạm pháp luật ngày 25/6/2025; </w:t>
      </w:r>
    </w:p>
    <w:p w14:paraId="0EF3F0B2">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i/>
          <w:sz w:val="28"/>
          <w:szCs w:val="28"/>
        </w:rPr>
      </w:pPr>
      <w:r>
        <w:rPr>
          <w:i/>
          <w:sz w:val="28"/>
          <w:szCs w:val="28"/>
        </w:rPr>
        <w:t xml:space="preserve">Căn cứ Luật Công chứng ngày 26/11/2024; </w:t>
      </w:r>
    </w:p>
    <w:p w14:paraId="2599700C">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i/>
          <w:sz w:val="28"/>
          <w:szCs w:val="28"/>
        </w:rPr>
      </w:pPr>
      <w:r>
        <w:rPr>
          <w:i/>
          <w:sz w:val="28"/>
          <w:szCs w:val="28"/>
        </w:rPr>
        <w:t xml:space="preserve">Căn cứ Nghị định số 104/2025/NĐ-CP ngày 15/5/2025 của Chính phủ </w:t>
      </w:r>
      <w:bookmarkStart w:id="0" w:name="loai_1_name"/>
      <w:r>
        <w:rPr>
          <w:i/>
          <w:sz w:val="28"/>
          <w:szCs w:val="28"/>
        </w:rPr>
        <w:t>quy định chi tiết một số điều và biện pháp thi hành Luật Công chứng</w:t>
      </w:r>
      <w:bookmarkEnd w:id="0"/>
      <w:r>
        <w:rPr>
          <w:i/>
          <w:sz w:val="28"/>
          <w:szCs w:val="28"/>
        </w:rPr>
        <w:t>;</w:t>
      </w:r>
    </w:p>
    <w:p w14:paraId="27A2A7D9">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i/>
          <w:sz w:val="28"/>
          <w:szCs w:val="28"/>
        </w:rPr>
      </w:pPr>
      <w:r>
        <w:rPr>
          <w:i/>
          <w:sz w:val="28"/>
          <w:szCs w:val="28"/>
        </w:rPr>
        <w:t>Căn cứ Nghị định số 23/2015/NĐ-CP ngày 16/02/2015 của Chính phủ về cấp bản sao từ sổ gốc, chứng thực bản sao từ bản chính, chứng thực chữ ký và chứng thực hợp đồng, giao dịch;</w:t>
      </w:r>
      <w:r>
        <w:rPr>
          <w:rFonts w:hint="default"/>
          <w:i/>
          <w:sz w:val="28"/>
          <w:szCs w:val="28"/>
          <w:lang w:val="en-US"/>
        </w:rPr>
        <w:t xml:space="preserve"> </w:t>
      </w:r>
      <w:r>
        <w:rPr>
          <w:i/>
          <w:sz w:val="28"/>
          <w:szCs w:val="28"/>
        </w:rPr>
        <w:t>Nghị định số 280/2025/NĐ-CP ngày 27 tháng 10 năm 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14:paraId="6AADC50A">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i/>
          <w:sz w:val="28"/>
          <w:szCs w:val="28"/>
        </w:rPr>
      </w:pPr>
      <w:r>
        <w:rPr>
          <w:i/>
          <w:sz w:val="28"/>
          <w:szCs w:val="28"/>
        </w:rPr>
        <w:t>Theo đề nghị của Giám đốc Sở Tư pháp tại Tờ trình số …../TTr-STP ngày …/…/2025;</w:t>
      </w:r>
    </w:p>
    <w:p w14:paraId="7FD9C9EE">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i/>
          <w:sz w:val="28"/>
          <w:szCs w:val="28"/>
        </w:rPr>
      </w:pPr>
      <w:r>
        <w:rPr>
          <w:i/>
          <w:sz w:val="28"/>
          <w:szCs w:val="28"/>
        </w:rPr>
        <w:t xml:space="preserve">Ủy ban nhân dân tỉnh ban hành Quyết định về việc chuyển giao thẩm quyền chứng thực giao dịch từ </w:t>
      </w:r>
      <w:r>
        <w:rPr>
          <w:rFonts w:hint="default"/>
          <w:i/>
          <w:sz w:val="28"/>
          <w:szCs w:val="28"/>
          <w:lang w:val="en-US"/>
        </w:rPr>
        <w:t xml:space="preserve">Chủ tịch </w:t>
      </w:r>
      <w:r>
        <w:rPr>
          <w:i/>
          <w:sz w:val="28"/>
          <w:szCs w:val="28"/>
        </w:rPr>
        <w:t xml:space="preserve">Ủy ban nhân dân cấp xã sang tổ chức hành nghề công chứng trên địa bàn tỉnh Khánh Hòa. </w:t>
      </w:r>
    </w:p>
    <w:p w14:paraId="40217BC2">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b/>
          <w:iCs/>
          <w:sz w:val="28"/>
          <w:szCs w:val="28"/>
        </w:rPr>
      </w:pPr>
      <w:r>
        <w:rPr>
          <w:b/>
          <w:iCs/>
          <w:sz w:val="28"/>
          <w:szCs w:val="28"/>
        </w:rPr>
        <w:t>Điều 1.</w:t>
      </w:r>
      <w:r>
        <w:rPr>
          <w:i/>
          <w:iCs/>
          <w:sz w:val="28"/>
          <w:szCs w:val="28"/>
        </w:rPr>
        <w:t xml:space="preserve"> </w:t>
      </w:r>
      <w:r>
        <w:rPr>
          <w:b/>
          <w:iCs/>
          <w:sz w:val="28"/>
          <w:szCs w:val="28"/>
        </w:rPr>
        <w:t>Phạm vi điều chỉnh</w:t>
      </w:r>
    </w:p>
    <w:p w14:paraId="2A9ACA1B">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Quyết định này quy định việc chuyển giao thẩm quyền chứng thực giao dịch từ Chủ tịch Ủy ban nhân dân cấp xã sang các tổ chức hành nghề công chứng trên địa bàn tỉnh Khánh Hòa theo quy định tại khoản 3 Điều 19 Luật Công chứng 2024 và điểm e khoản 1 Điều 63 Nghị định số 104/2025/NĐ-CP ngày 15/5/2025 của Chính phủ quy định chi tiết một số điều và biện pháp thi hành luật công chứng.</w:t>
      </w:r>
    </w:p>
    <w:p w14:paraId="08DC62D8">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b/>
          <w:sz w:val="28"/>
          <w:szCs w:val="28"/>
        </w:rPr>
      </w:pPr>
      <w:r>
        <w:rPr>
          <w:b/>
          <w:sz w:val="28"/>
          <w:szCs w:val="28"/>
        </w:rPr>
        <w:t>Điều 2. Đối tượng áp dụng</w:t>
      </w:r>
    </w:p>
    <w:p w14:paraId="2D8D527F">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Quyết định này áp dụng đối với Chủ tịch Ủy ban nhân dân các xã, phường, đặc khu (sau đây gọi là Chủ tịch Ủy ban nhân dân cấp xã); các tổ chức hành nghề công chứng và các cơ quan, tổ chức, cá nhân liên quan đến hoạt động chứng thực và quản lý nhà nước về chứng thực trên địa bàn tỉnh Khánh Hòa.</w:t>
      </w:r>
    </w:p>
    <w:p w14:paraId="435D9D75">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b/>
          <w:sz w:val="28"/>
          <w:szCs w:val="28"/>
        </w:rPr>
      </w:pPr>
      <w:r>
        <w:rPr>
          <w:b/>
          <w:sz w:val="28"/>
          <w:szCs w:val="28"/>
        </w:rPr>
        <w:t>Điều 3.</w:t>
      </w:r>
      <w:r>
        <w:rPr>
          <w:sz w:val="28"/>
          <w:szCs w:val="28"/>
        </w:rPr>
        <w:t xml:space="preserve"> </w:t>
      </w:r>
      <w:r>
        <w:rPr>
          <w:b/>
          <w:sz w:val="28"/>
          <w:szCs w:val="28"/>
        </w:rPr>
        <w:t>Chuyển giao thẩm quyền chứng thực giao dịch</w:t>
      </w:r>
    </w:p>
    <w:p w14:paraId="783BA458">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 xml:space="preserve">Chủ tịch Ủy ban nhân dân cấp xã thực hiện chuyển giao thẩm quyền chứng thực giao dịch quy định tại các điểm d, đ, e, g, h, i khoản 1 Điều 5 Nghị định số 23/2015/NĐ-CP ngày 16 tháng 02 năm 2015 của Chính phủ về cấp bản sao từ sổ gốc, chứng thực bản sao từ bản chính, chứng thực chữ ký và chứng thực hợp đồng, giao dịch </w:t>
      </w:r>
      <w:r>
        <w:rPr>
          <w:i/>
          <w:sz w:val="28"/>
          <w:szCs w:val="28"/>
        </w:rPr>
        <w:t>(được sửa đổi, bổ sung tại khoản 2 Điều 1 Nghị định số 280/2025/NĐ-CP ngày 27 tháng 10 năm 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r>
        <w:rPr>
          <w:sz w:val="28"/>
          <w:szCs w:val="28"/>
        </w:rPr>
        <w:t xml:space="preserve"> sang các tổ chức hành nghề công chứng gồm: </w:t>
      </w:r>
    </w:p>
    <w:p w14:paraId="28468449">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1. Chủ tịch Ủy ban nhân dân các phường: Bảo An, Ninh Chử, Phan Rang, Cam Ranh, Bắc Cam Ranh, Bắc Nha Trang, Nam Nha Trang, Nha Trang, Tây Nha Trang, Ninh Hòa.</w:t>
      </w:r>
    </w:p>
    <w:p w14:paraId="3AE48B12">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2. Chủ tịch Ủy ban nhân dân các xã: Ninh Sơn, Phước Dinh, Cam Lâm, Diên Khánh, Diên Lạc, Vạn Ninh, Thuận Nam.</w:t>
      </w:r>
    </w:p>
    <w:p w14:paraId="555697E9">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b/>
          <w:bCs/>
          <w:sz w:val="28"/>
          <w:szCs w:val="28"/>
        </w:rPr>
      </w:pPr>
      <w:r>
        <w:rPr>
          <w:b/>
          <w:bCs/>
          <w:sz w:val="28"/>
          <w:szCs w:val="28"/>
        </w:rPr>
        <w:t>Điều 4. Tổ chức thực hiện</w:t>
      </w:r>
    </w:p>
    <w:p w14:paraId="4A20C7E5">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 xml:space="preserve">1. Kể từ ngày Quyết định này có hiệu lực, Chủ tịch Ủy ban nhân dân cấp xã quy định tại khoản 1, khoản 2 Điều 3 Quyết định này chấm dứt thẩm quyền chứng thực giao dịch. </w:t>
      </w:r>
    </w:p>
    <w:p w14:paraId="49088D63">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2. Đối với Chủ tịch Ủy ban nhân dân cấp xã không thuộc quy định tại khoản 1, khoản 2 Điều 3 Quyết định này vẫn có trách nhiệm thực hiện chứng thực giao dịch theo quy định. Tổ chức, cá nhân khi có yêu cầu chứng thực giao dịch được quyền lựa chọn công chứng tại tổ chức hành nghề công chứng hoặc chứng thực tại Ủy ban nhân dân cấp xã theo quy định của pháp luật.</w:t>
      </w:r>
    </w:p>
    <w:p w14:paraId="162F34BF">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3. Sở Tư pháp có trách nhiệm thường xuyên rà soát việc chuyển giao thẩm quyền chứng thực</w:t>
      </w:r>
      <w:r>
        <w:rPr>
          <w:rFonts w:hint="default"/>
          <w:sz w:val="28"/>
          <w:szCs w:val="28"/>
          <w:lang w:val="en-US"/>
        </w:rPr>
        <w:t xml:space="preserve"> giao dịch</w:t>
      </w:r>
      <w:r>
        <w:rPr>
          <w:sz w:val="28"/>
          <w:szCs w:val="28"/>
        </w:rPr>
        <w:t xml:space="preserve">, đề xuất Ủy ban nhân dân tỉnh xem xét, quyết định điều chỉnh danh sách các đơn vị cấp xã thực hiện chuyển giao khi có thay đổi về điều kiện theo quy định của pháp luật. </w:t>
      </w:r>
      <w:bookmarkStart w:id="1" w:name="_GoBack"/>
      <w:bookmarkEnd w:id="1"/>
    </w:p>
    <w:p w14:paraId="3AC30587">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b/>
          <w:sz w:val="28"/>
          <w:szCs w:val="28"/>
        </w:rPr>
      </w:pPr>
      <w:r>
        <w:rPr>
          <w:b/>
          <w:sz w:val="28"/>
          <w:szCs w:val="28"/>
        </w:rPr>
        <w:t>Điều 5. Điều khoản thi hành</w:t>
      </w:r>
    </w:p>
    <w:p w14:paraId="2C87E426">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bCs/>
          <w:sz w:val="28"/>
          <w:szCs w:val="28"/>
        </w:rPr>
        <w:t>1.</w:t>
      </w:r>
      <w:r>
        <w:rPr>
          <w:b/>
          <w:sz w:val="28"/>
          <w:szCs w:val="28"/>
        </w:rPr>
        <w:t xml:space="preserve"> </w:t>
      </w:r>
      <w:r>
        <w:rPr>
          <w:sz w:val="28"/>
          <w:szCs w:val="28"/>
        </w:rPr>
        <w:t>Quyết định này có hiệu lực thi hành kể từ ngày …. /…/2025.</w:t>
      </w:r>
    </w:p>
    <w:p w14:paraId="3283EDD1">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 xml:space="preserve">2. Đối với hồ sơ yêu cầu chứng thực giao dịch đã được Chủ tịch Ủy ban nhân dân cấp xã quy định tại khoản 1, khoản 2 Điều 3 tiếp nhận trước ngày Quyết định này có hiệu lực thì tiếp tục giải quyết theo quy định của pháp luật về chứng thực. </w:t>
      </w:r>
    </w:p>
    <w:p w14:paraId="08A177ED">
      <w:pPr>
        <w:keepNext w:val="0"/>
        <w:keepLines w:val="0"/>
        <w:pageBreakBefore w:val="0"/>
        <w:widowControl/>
        <w:kinsoku/>
        <w:wordWrap/>
        <w:overflowPunct/>
        <w:topLinePunct w:val="0"/>
        <w:autoSpaceDE/>
        <w:autoSpaceDN/>
        <w:bidi w:val="0"/>
        <w:adjustRightInd/>
        <w:snapToGrid/>
        <w:spacing w:before="120" w:after="120" w:line="288" w:lineRule="auto"/>
        <w:ind w:firstLine="850"/>
        <w:jc w:val="both"/>
        <w:textAlignment w:val="auto"/>
        <w:rPr>
          <w:sz w:val="28"/>
          <w:szCs w:val="28"/>
        </w:rPr>
      </w:pPr>
      <w:r>
        <w:rPr>
          <w:sz w:val="28"/>
          <w:szCs w:val="28"/>
        </w:rPr>
        <w:t>3. Chánh Văn phòng Ủy ban nhân dân tỉnh; Giám đốc Sở Tư pháp; Thủ trưởng các Sở, ban ngành tỉnh; Chủ tịch Ủy ban nhân dân xã, phường, đặc khu; các tổ chức hành nghề công chứng và các tổ chức, cá nhân có liên quan chịu trách nhiệm thi hành Quyết định này./.</w:t>
      </w:r>
    </w:p>
    <w:p w14:paraId="67FE2937">
      <w:pPr>
        <w:spacing w:before="60" w:after="60" w:line="312" w:lineRule="auto"/>
        <w:ind w:firstLine="851"/>
        <w:jc w:val="both"/>
        <w:rPr>
          <w:sz w:val="6"/>
          <w:szCs w:val="6"/>
        </w:rPr>
      </w:pPr>
    </w:p>
    <w:tbl>
      <w:tblPr>
        <w:tblStyle w:val="4"/>
        <w:tblW w:w="9575" w:type="dxa"/>
        <w:jc w:val="center"/>
        <w:tblLayout w:type="autofit"/>
        <w:tblCellMar>
          <w:top w:w="0" w:type="dxa"/>
          <w:left w:w="108" w:type="dxa"/>
          <w:bottom w:w="0" w:type="dxa"/>
          <w:right w:w="108" w:type="dxa"/>
        </w:tblCellMar>
      </w:tblPr>
      <w:tblGrid>
        <w:gridCol w:w="5670"/>
        <w:gridCol w:w="3905"/>
      </w:tblGrid>
      <w:tr w14:paraId="4AEB2FAD">
        <w:tblPrEx>
          <w:tblCellMar>
            <w:top w:w="0" w:type="dxa"/>
            <w:left w:w="108" w:type="dxa"/>
            <w:bottom w:w="0" w:type="dxa"/>
            <w:right w:w="108" w:type="dxa"/>
          </w:tblCellMar>
        </w:tblPrEx>
        <w:trPr>
          <w:jc w:val="center"/>
        </w:trPr>
        <w:tc>
          <w:tcPr>
            <w:tcW w:w="5670" w:type="dxa"/>
          </w:tcPr>
          <w:p w14:paraId="014DBBCD">
            <w:pPr>
              <w:tabs>
                <w:tab w:val="center" w:pos="7560"/>
              </w:tabs>
              <w:contextualSpacing/>
              <w:jc w:val="both"/>
              <w:rPr>
                <w:b/>
                <w:i/>
                <w:color w:val="000000"/>
              </w:rPr>
            </w:pPr>
            <w:r>
              <w:rPr>
                <w:b/>
                <w:i/>
                <w:color w:val="000000"/>
                <w:lang w:val="vi-VN"/>
              </w:rPr>
              <w:t>Nơi nhận:</w:t>
            </w:r>
          </w:p>
          <w:p w14:paraId="042377BB">
            <w:pPr>
              <w:tabs>
                <w:tab w:val="center" w:pos="7560"/>
              </w:tabs>
              <w:contextualSpacing/>
              <w:jc w:val="both"/>
              <w:rPr>
                <w:color w:val="000000"/>
              </w:rPr>
            </w:pPr>
            <w:r>
              <w:rPr>
                <w:color w:val="000000"/>
                <w:sz w:val="22"/>
                <w:szCs w:val="22"/>
                <w:lang w:val="vi-VN"/>
              </w:rPr>
              <w:t xml:space="preserve">- Như Điều </w:t>
            </w:r>
            <w:r>
              <w:rPr>
                <w:color w:val="000000"/>
                <w:sz w:val="22"/>
                <w:szCs w:val="22"/>
              </w:rPr>
              <w:t>5</w:t>
            </w:r>
            <w:r>
              <w:rPr>
                <w:color w:val="000000"/>
                <w:lang w:val="vi-VN"/>
              </w:rPr>
              <w:t>;</w:t>
            </w:r>
          </w:p>
          <w:p w14:paraId="6361518D">
            <w:pPr>
              <w:tabs>
                <w:tab w:val="center" w:pos="7560"/>
              </w:tabs>
              <w:contextualSpacing/>
              <w:jc w:val="both"/>
              <w:rPr>
                <w:sz w:val="22"/>
                <w:szCs w:val="22"/>
              </w:rPr>
            </w:pPr>
            <w:r>
              <w:t>- Ủy ban Th</w:t>
            </w:r>
            <w:r>
              <w:rPr>
                <w:sz w:val="22"/>
                <w:szCs w:val="22"/>
                <w:lang w:val="vi-VN"/>
              </w:rPr>
              <w:t>ường vụ Quốc hội;</w:t>
            </w:r>
          </w:p>
          <w:p w14:paraId="0B837E96">
            <w:pPr>
              <w:tabs>
                <w:tab w:val="center" w:pos="7560"/>
              </w:tabs>
              <w:contextualSpacing/>
              <w:jc w:val="both"/>
              <w:rPr>
                <w:sz w:val="22"/>
                <w:szCs w:val="22"/>
              </w:rPr>
            </w:pPr>
            <w:r>
              <w:rPr>
                <w:sz w:val="22"/>
                <w:szCs w:val="22"/>
              </w:rPr>
              <w:t>- Văn phòng Chính phủ;</w:t>
            </w:r>
          </w:p>
          <w:p w14:paraId="34221DB0">
            <w:pPr>
              <w:tabs>
                <w:tab w:val="center" w:pos="7560"/>
              </w:tabs>
              <w:contextualSpacing/>
              <w:jc w:val="both"/>
              <w:rPr>
                <w:sz w:val="22"/>
                <w:szCs w:val="22"/>
              </w:rPr>
            </w:pPr>
            <w:r>
              <w:rPr>
                <w:sz w:val="22"/>
                <w:szCs w:val="22"/>
              </w:rPr>
              <w:t xml:space="preserve">- Cục Kiểm tra VB&amp;QLXLVPHC (Bộ Tư pháp); </w:t>
            </w:r>
          </w:p>
          <w:p w14:paraId="77B7A7C7">
            <w:pPr>
              <w:tabs>
                <w:tab w:val="center" w:pos="7560"/>
              </w:tabs>
              <w:contextualSpacing/>
              <w:jc w:val="both"/>
              <w:rPr>
                <w:sz w:val="22"/>
                <w:szCs w:val="22"/>
              </w:rPr>
            </w:pPr>
            <w:r>
              <w:rPr>
                <w:sz w:val="22"/>
                <w:szCs w:val="22"/>
              </w:rPr>
              <w:t>- Thường trực Tỉnh ủy;</w:t>
            </w:r>
          </w:p>
          <w:p w14:paraId="770CA2AD">
            <w:pPr>
              <w:tabs>
                <w:tab w:val="center" w:pos="7560"/>
              </w:tabs>
              <w:contextualSpacing/>
              <w:jc w:val="both"/>
              <w:rPr>
                <w:sz w:val="22"/>
                <w:szCs w:val="22"/>
              </w:rPr>
            </w:pPr>
            <w:r>
              <w:rPr>
                <w:sz w:val="22"/>
                <w:szCs w:val="22"/>
              </w:rPr>
              <w:t>- Thường trực HĐND tỉnh;</w:t>
            </w:r>
          </w:p>
          <w:p w14:paraId="389C1E8E">
            <w:pPr>
              <w:tabs>
                <w:tab w:val="center" w:pos="7560"/>
              </w:tabs>
              <w:contextualSpacing/>
              <w:jc w:val="both"/>
              <w:rPr>
                <w:sz w:val="22"/>
                <w:szCs w:val="22"/>
              </w:rPr>
            </w:pPr>
            <w:r>
              <w:rPr>
                <w:sz w:val="22"/>
                <w:szCs w:val="22"/>
              </w:rPr>
              <w:t>- Cơ quan Ủy ban Mặt trận Tổ quốc Việt Nam tỉnh;</w:t>
            </w:r>
          </w:p>
          <w:p w14:paraId="020026E4">
            <w:pPr>
              <w:tabs>
                <w:tab w:val="center" w:pos="7560"/>
              </w:tabs>
              <w:contextualSpacing/>
              <w:jc w:val="both"/>
              <w:rPr>
                <w:sz w:val="22"/>
                <w:szCs w:val="22"/>
              </w:rPr>
            </w:pPr>
            <w:r>
              <w:rPr>
                <w:sz w:val="22"/>
                <w:szCs w:val="22"/>
              </w:rPr>
              <w:t xml:space="preserve">- Lãnh đạo VP.UBND tỉnh; </w:t>
            </w:r>
          </w:p>
          <w:p w14:paraId="1E2E9050">
            <w:pPr>
              <w:tabs>
                <w:tab w:val="center" w:pos="7560"/>
              </w:tabs>
              <w:contextualSpacing/>
              <w:jc w:val="both"/>
              <w:rPr>
                <w:sz w:val="22"/>
                <w:szCs w:val="22"/>
              </w:rPr>
            </w:pPr>
            <w:r>
              <w:rPr>
                <w:sz w:val="22"/>
                <w:szCs w:val="22"/>
              </w:rPr>
              <w:t>- Hội Công chứng viên tỉnh;</w:t>
            </w:r>
          </w:p>
          <w:p w14:paraId="123AC8AF">
            <w:pPr>
              <w:tabs>
                <w:tab w:val="center" w:pos="7560"/>
              </w:tabs>
              <w:contextualSpacing/>
              <w:jc w:val="both"/>
              <w:rPr>
                <w:sz w:val="22"/>
                <w:szCs w:val="22"/>
              </w:rPr>
            </w:pPr>
            <w:r>
              <w:rPr>
                <w:sz w:val="22"/>
                <w:szCs w:val="22"/>
              </w:rPr>
              <w:t xml:space="preserve">- Báo và Phát thanh Truyền hình Khánh Hòa;  </w:t>
            </w:r>
          </w:p>
          <w:p w14:paraId="722B8DE5">
            <w:pPr>
              <w:tabs>
                <w:tab w:val="center" w:pos="7560"/>
              </w:tabs>
              <w:contextualSpacing/>
              <w:jc w:val="both"/>
              <w:rPr>
                <w:sz w:val="22"/>
                <w:szCs w:val="22"/>
              </w:rPr>
            </w:pPr>
            <w:r>
              <w:rPr>
                <w:sz w:val="22"/>
                <w:szCs w:val="22"/>
                <w:lang w:val="vi-VN"/>
              </w:rPr>
              <w:t xml:space="preserve">- </w:t>
            </w:r>
            <w:r>
              <w:rPr>
                <w:sz w:val="22"/>
                <w:szCs w:val="22"/>
              </w:rPr>
              <w:t xml:space="preserve">Sở Tư pháp; </w:t>
            </w:r>
          </w:p>
          <w:p w14:paraId="2F8D243A">
            <w:pPr>
              <w:tabs>
                <w:tab w:val="center" w:pos="7560"/>
              </w:tabs>
              <w:contextualSpacing/>
              <w:jc w:val="both"/>
              <w:rPr>
                <w:sz w:val="22"/>
                <w:szCs w:val="22"/>
              </w:rPr>
            </w:pPr>
            <w:r>
              <w:rPr>
                <w:sz w:val="22"/>
                <w:szCs w:val="22"/>
              </w:rPr>
              <w:t>- UBND các xã, phường, đặc khu;</w:t>
            </w:r>
          </w:p>
          <w:p w14:paraId="693DDC78">
            <w:pPr>
              <w:tabs>
                <w:tab w:val="center" w:pos="7560"/>
              </w:tabs>
              <w:contextualSpacing/>
              <w:rPr>
                <w:sz w:val="22"/>
                <w:szCs w:val="22"/>
              </w:rPr>
            </w:pPr>
            <w:r>
              <w:rPr>
                <w:sz w:val="22"/>
                <w:szCs w:val="22"/>
              </w:rPr>
              <w:t xml:space="preserve">- Các Tổ chức hành nghề công chứng                                                 </w:t>
            </w:r>
          </w:p>
          <w:p w14:paraId="631BC652">
            <w:pPr>
              <w:tabs>
                <w:tab w:val="center" w:pos="7560"/>
              </w:tabs>
              <w:contextualSpacing/>
              <w:rPr>
                <w:sz w:val="22"/>
                <w:szCs w:val="22"/>
              </w:rPr>
            </w:pPr>
            <w:r>
              <w:rPr>
                <w:sz w:val="22"/>
                <w:szCs w:val="22"/>
              </w:rPr>
              <w:t xml:space="preserve">  trên địa bàn tỉnh Khánh Hòa; </w:t>
            </w:r>
          </w:p>
          <w:p w14:paraId="689FBA10">
            <w:pPr>
              <w:tabs>
                <w:tab w:val="center" w:pos="7560"/>
              </w:tabs>
              <w:contextualSpacing/>
              <w:jc w:val="both"/>
              <w:rPr>
                <w:sz w:val="22"/>
                <w:szCs w:val="22"/>
              </w:rPr>
            </w:pPr>
            <w:r>
              <w:rPr>
                <w:sz w:val="22"/>
                <w:szCs w:val="22"/>
              </w:rPr>
              <w:t>- Trung tâm Công báo và Cổng TTĐT tỉnh;</w:t>
            </w:r>
          </w:p>
          <w:p w14:paraId="448022FC">
            <w:pPr>
              <w:tabs>
                <w:tab w:val="center" w:pos="7560"/>
              </w:tabs>
              <w:contextualSpacing/>
              <w:jc w:val="both"/>
              <w:rPr>
                <w:sz w:val="22"/>
                <w:szCs w:val="22"/>
              </w:rPr>
            </w:pPr>
            <w:r>
              <w:rPr>
                <w:sz w:val="22"/>
                <w:szCs w:val="22"/>
              </w:rPr>
              <w:t xml:space="preserve">- Lưu VT, NL, NgM. Các Phòng chuyên môn. </w:t>
            </w:r>
          </w:p>
          <w:p w14:paraId="7434302E">
            <w:pPr>
              <w:tabs>
                <w:tab w:val="left" w:pos="6849"/>
              </w:tabs>
              <w:contextualSpacing/>
              <w:jc w:val="both"/>
              <w:rPr>
                <w:sz w:val="22"/>
              </w:rPr>
            </w:pPr>
          </w:p>
        </w:tc>
        <w:tc>
          <w:tcPr>
            <w:tcW w:w="3905" w:type="dxa"/>
          </w:tcPr>
          <w:p w14:paraId="7813391E">
            <w:pPr>
              <w:ind w:left="-288"/>
              <w:contextualSpacing/>
              <w:jc w:val="center"/>
              <w:rPr>
                <w:b/>
                <w:sz w:val="28"/>
              </w:rPr>
            </w:pPr>
            <w:r>
              <w:rPr>
                <w:b/>
                <w:sz w:val="28"/>
              </w:rPr>
              <w:t>TM. ỦY BAN NHÂN DÂN</w:t>
            </w:r>
          </w:p>
          <w:p w14:paraId="4521ED2E">
            <w:pPr>
              <w:ind w:left="-288"/>
              <w:contextualSpacing/>
              <w:jc w:val="center"/>
              <w:rPr>
                <w:b/>
                <w:sz w:val="28"/>
                <w:szCs w:val="28"/>
              </w:rPr>
            </w:pPr>
            <w:r>
              <w:rPr>
                <w:b/>
                <w:sz w:val="28"/>
                <w:szCs w:val="28"/>
              </w:rPr>
              <w:t>CHỦ TỊCH</w:t>
            </w:r>
          </w:p>
          <w:p w14:paraId="14831E00">
            <w:pPr>
              <w:ind w:left="-288"/>
              <w:contextualSpacing/>
              <w:jc w:val="center"/>
              <w:rPr>
                <w:b/>
                <w:sz w:val="22"/>
                <w:szCs w:val="22"/>
              </w:rPr>
            </w:pPr>
          </w:p>
          <w:p w14:paraId="5258E837">
            <w:pPr>
              <w:ind w:left="-288"/>
              <w:contextualSpacing/>
              <w:jc w:val="center"/>
              <w:rPr>
                <w:b/>
                <w:sz w:val="22"/>
                <w:szCs w:val="22"/>
              </w:rPr>
            </w:pPr>
          </w:p>
          <w:p w14:paraId="0522A146">
            <w:pPr>
              <w:ind w:left="-288"/>
              <w:contextualSpacing/>
              <w:jc w:val="center"/>
              <w:rPr>
                <w:b/>
                <w:sz w:val="36"/>
                <w:szCs w:val="36"/>
              </w:rPr>
            </w:pPr>
          </w:p>
          <w:p w14:paraId="1C91A18B">
            <w:pPr>
              <w:ind w:left="-288"/>
              <w:contextualSpacing/>
              <w:jc w:val="center"/>
              <w:rPr>
                <w:b/>
                <w:sz w:val="44"/>
                <w:szCs w:val="44"/>
              </w:rPr>
            </w:pPr>
          </w:p>
          <w:p w14:paraId="19EF244B">
            <w:pPr>
              <w:ind w:left="-288"/>
              <w:contextualSpacing/>
              <w:jc w:val="center"/>
              <w:rPr>
                <w:b/>
                <w:sz w:val="28"/>
                <w:szCs w:val="28"/>
              </w:rPr>
            </w:pPr>
          </w:p>
          <w:p w14:paraId="62E0A5DE">
            <w:pPr>
              <w:ind w:left="-288"/>
              <w:contextualSpacing/>
              <w:jc w:val="center"/>
              <w:rPr>
                <w:b/>
                <w:sz w:val="28"/>
                <w:szCs w:val="28"/>
              </w:rPr>
            </w:pPr>
            <w:r>
              <w:rPr>
                <w:b/>
                <w:sz w:val="28"/>
                <w:szCs w:val="28"/>
              </w:rPr>
              <w:t>Nguyễn Khắc Toàn</w:t>
            </w:r>
          </w:p>
          <w:p w14:paraId="06502013">
            <w:pPr>
              <w:ind w:left="-288"/>
              <w:contextualSpacing/>
              <w:jc w:val="center"/>
              <w:rPr>
                <w:b/>
                <w:sz w:val="28"/>
                <w:szCs w:val="28"/>
              </w:rPr>
            </w:pPr>
          </w:p>
        </w:tc>
      </w:tr>
    </w:tbl>
    <w:p w14:paraId="694B4913">
      <w:pPr>
        <w:spacing w:before="120" w:after="120" w:line="312" w:lineRule="auto"/>
        <w:ind w:firstLine="567"/>
        <w:jc w:val="both"/>
        <w:rPr>
          <w:sz w:val="28"/>
          <w:szCs w:val="28"/>
        </w:rPr>
      </w:pPr>
    </w:p>
    <w:sectPr>
      <w:headerReference r:id="rId3" w:type="default"/>
      <w:footerReference r:id="rId4" w:type="even"/>
      <w:pgSz w:w="11907" w:h="16840"/>
      <w:pgMar w:top="706" w:right="1138" w:bottom="1138" w:left="1138" w:header="284" w:footer="51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VnTimeH">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AADC">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4FE56DEC">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E4B9">
    <w:pPr>
      <w:pStyle w:val="7"/>
      <w:jc w:val="center"/>
      <w:rPr>
        <w:sz w:val="28"/>
        <w:szCs w:val="28"/>
      </w:rPr>
    </w:pPr>
  </w:p>
  <w:p w14:paraId="3C3FE781">
    <w:pPr>
      <w:pStyle w:val="7"/>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p w14:paraId="7AA1147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23"/>
    <w:rsid w:val="00001D29"/>
    <w:rsid w:val="000326FC"/>
    <w:rsid w:val="00032A83"/>
    <w:rsid w:val="0003320C"/>
    <w:rsid w:val="00033F2A"/>
    <w:rsid w:val="0003428D"/>
    <w:rsid w:val="00040F2C"/>
    <w:rsid w:val="00042598"/>
    <w:rsid w:val="00055A54"/>
    <w:rsid w:val="000627EF"/>
    <w:rsid w:val="00064B06"/>
    <w:rsid w:val="00064DCE"/>
    <w:rsid w:val="00070AEC"/>
    <w:rsid w:val="00076D30"/>
    <w:rsid w:val="000B03D1"/>
    <w:rsid w:val="000C28EA"/>
    <w:rsid w:val="000C3B20"/>
    <w:rsid w:val="000C529C"/>
    <w:rsid w:val="000D0499"/>
    <w:rsid w:val="000D2D97"/>
    <w:rsid w:val="000D4C02"/>
    <w:rsid w:val="000D4DD8"/>
    <w:rsid w:val="000D6C63"/>
    <w:rsid w:val="000F0D3F"/>
    <w:rsid w:val="000F318C"/>
    <w:rsid w:val="00105B75"/>
    <w:rsid w:val="00111A89"/>
    <w:rsid w:val="0012346A"/>
    <w:rsid w:val="00124F6D"/>
    <w:rsid w:val="001256CF"/>
    <w:rsid w:val="001305D0"/>
    <w:rsid w:val="001327D5"/>
    <w:rsid w:val="00135141"/>
    <w:rsid w:val="00137178"/>
    <w:rsid w:val="00160A62"/>
    <w:rsid w:val="00164BDE"/>
    <w:rsid w:val="00167BD5"/>
    <w:rsid w:val="00173569"/>
    <w:rsid w:val="0017510A"/>
    <w:rsid w:val="001813BB"/>
    <w:rsid w:val="00184B8E"/>
    <w:rsid w:val="00187F37"/>
    <w:rsid w:val="00191D26"/>
    <w:rsid w:val="001A0D64"/>
    <w:rsid w:val="001A781C"/>
    <w:rsid w:val="001B4982"/>
    <w:rsid w:val="001C23D4"/>
    <w:rsid w:val="001C4AC8"/>
    <w:rsid w:val="001D46D6"/>
    <w:rsid w:val="001D6EB8"/>
    <w:rsid w:val="001E4158"/>
    <w:rsid w:val="001E52A0"/>
    <w:rsid w:val="001E7929"/>
    <w:rsid w:val="002048E9"/>
    <w:rsid w:val="00210D79"/>
    <w:rsid w:val="002164FC"/>
    <w:rsid w:val="002203ED"/>
    <w:rsid w:val="002208DF"/>
    <w:rsid w:val="00224B1E"/>
    <w:rsid w:val="00224D98"/>
    <w:rsid w:val="00227A91"/>
    <w:rsid w:val="00230C6D"/>
    <w:rsid w:val="0023128A"/>
    <w:rsid w:val="00235A27"/>
    <w:rsid w:val="002362A7"/>
    <w:rsid w:val="00236DE2"/>
    <w:rsid w:val="00242D55"/>
    <w:rsid w:val="002469C0"/>
    <w:rsid w:val="00262D1E"/>
    <w:rsid w:val="002707B3"/>
    <w:rsid w:val="00274EF4"/>
    <w:rsid w:val="00284256"/>
    <w:rsid w:val="002842A1"/>
    <w:rsid w:val="002939AE"/>
    <w:rsid w:val="0029669C"/>
    <w:rsid w:val="002970C0"/>
    <w:rsid w:val="002A398E"/>
    <w:rsid w:val="002A5851"/>
    <w:rsid w:val="002A5BAC"/>
    <w:rsid w:val="002B3FE9"/>
    <w:rsid w:val="002B7AEC"/>
    <w:rsid w:val="002C2C95"/>
    <w:rsid w:val="002C34AB"/>
    <w:rsid w:val="002C4A4F"/>
    <w:rsid w:val="002C57EF"/>
    <w:rsid w:val="002D474E"/>
    <w:rsid w:val="002D7435"/>
    <w:rsid w:val="002E1026"/>
    <w:rsid w:val="002F117F"/>
    <w:rsid w:val="00304DCC"/>
    <w:rsid w:val="00306DCE"/>
    <w:rsid w:val="00314737"/>
    <w:rsid w:val="0032689E"/>
    <w:rsid w:val="00337970"/>
    <w:rsid w:val="00340D1E"/>
    <w:rsid w:val="003416A0"/>
    <w:rsid w:val="00343591"/>
    <w:rsid w:val="00345A4A"/>
    <w:rsid w:val="00352E85"/>
    <w:rsid w:val="003532E2"/>
    <w:rsid w:val="003539A5"/>
    <w:rsid w:val="00356B33"/>
    <w:rsid w:val="00362907"/>
    <w:rsid w:val="00362B7A"/>
    <w:rsid w:val="00364EC0"/>
    <w:rsid w:val="0037383A"/>
    <w:rsid w:val="0037489D"/>
    <w:rsid w:val="00380933"/>
    <w:rsid w:val="00380C39"/>
    <w:rsid w:val="0038637E"/>
    <w:rsid w:val="00392A91"/>
    <w:rsid w:val="00393152"/>
    <w:rsid w:val="0039349F"/>
    <w:rsid w:val="00394741"/>
    <w:rsid w:val="0039522C"/>
    <w:rsid w:val="003B6EFF"/>
    <w:rsid w:val="003C266A"/>
    <w:rsid w:val="003C5D48"/>
    <w:rsid w:val="003C6B15"/>
    <w:rsid w:val="003D328F"/>
    <w:rsid w:val="003D5D55"/>
    <w:rsid w:val="003D5F17"/>
    <w:rsid w:val="003F1BA4"/>
    <w:rsid w:val="00407D23"/>
    <w:rsid w:val="004140FA"/>
    <w:rsid w:val="00414BA8"/>
    <w:rsid w:val="004211B9"/>
    <w:rsid w:val="00421F2D"/>
    <w:rsid w:val="00423F0B"/>
    <w:rsid w:val="004242B1"/>
    <w:rsid w:val="004359D8"/>
    <w:rsid w:val="00447FBE"/>
    <w:rsid w:val="00450930"/>
    <w:rsid w:val="00450DED"/>
    <w:rsid w:val="004542B8"/>
    <w:rsid w:val="00454FD6"/>
    <w:rsid w:val="0045710C"/>
    <w:rsid w:val="00460C8C"/>
    <w:rsid w:val="0046348B"/>
    <w:rsid w:val="0046572B"/>
    <w:rsid w:val="004723C1"/>
    <w:rsid w:val="00474ABE"/>
    <w:rsid w:val="0048412F"/>
    <w:rsid w:val="004850D5"/>
    <w:rsid w:val="00485C58"/>
    <w:rsid w:val="00495151"/>
    <w:rsid w:val="00495361"/>
    <w:rsid w:val="004971BA"/>
    <w:rsid w:val="004A29D3"/>
    <w:rsid w:val="004B0556"/>
    <w:rsid w:val="004B278B"/>
    <w:rsid w:val="004B5B68"/>
    <w:rsid w:val="004B7266"/>
    <w:rsid w:val="004B7DBA"/>
    <w:rsid w:val="004C1CE1"/>
    <w:rsid w:val="004D01A0"/>
    <w:rsid w:val="004D0E3A"/>
    <w:rsid w:val="004E66CF"/>
    <w:rsid w:val="004E7667"/>
    <w:rsid w:val="004F5639"/>
    <w:rsid w:val="004F5E6E"/>
    <w:rsid w:val="005024EE"/>
    <w:rsid w:val="00515238"/>
    <w:rsid w:val="00525974"/>
    <w:rsid w:val="00527885"/>
    <w:rsid w:val="0054057E"/>
    <w:rsid w:val="005470AC"/>
    <w:rsid w:val="005557A0"/>
    <w:rsid w:val="0055684D"/>
    <w:rsid w:val="005603DF"/>
    <w:rsid w:val="00571128"/>
    <w:rsid w:val="005761D3"/>
    <w:rsid w:val="00577496"/>
    <w:rsid w:val="00583D8A"/>
    <w:rsid w:val="00584E09"/>
    <w:rsid w:val="0058713C"/>
    <w:rsid w:val="0059758E"/>
    <w:rsid w:val="005A7E8D"/>
    <w:rsid w:val="005B179E"/>
    <w:rsid w:val="005B2DE3"/>
    <w:rsid w:val="005B3BF1"/>
    <w:rsid w:val="005C54A9"/>
    <w:rsid w:val="005C7865"/>
    <w:rsid w:val="005D3B01"/>
    <w:rsid w:val="005E4A28"/>
    <w:rsid w:val="005E6BB5"/>
    <w:rsid w:val="005F1575"/>
    <w:rsid w:val="00602835"/>
    <w:rsid w:val="0061126A"/>
    <w:rsid w:val="00615C06"/>
    <w:rsid w:val="00616A57"/>
    <w:rsid w:val="00617478"/>
    <w:rsid w:val="00627199"/>
    <w:rsid w:val="00633EE1"/>
    <w:rsid w:val="00640365"/>
    <w:rsid w:val="006460E8"/>
    <w:rsid w:val="00646EFA"/>
    <w:rsid w:val="006471A0"/>
    <w:rsid w:val="0064757A"/>
    <w:rsid w:val="00647858"/>
    <w:rsid w:val="00651E3D"/>
    <w:rsid w:val="0066112A"/>
    <w:rsid w:val="006633D8"/>
    <w:rsid w:val="006661A2"/>
    <w:rsid w:val="00666389"/>
    <w:rsid w:val="00676DE5"/>
    <w:rsid w:val="0068575B"/>
    <w:rsid w:val="00687478"/>
    <w:rsid w:val="00690C20"/>
    <w:rsid w:val="006A24F1"/>
    <w:rsid w:val="006A69A6"/>
    <w:rsid w:val="006B2EBA"/>
    <w:rsid w:val="006D0AE8"/>
    <w:rsid w:val="006D2428"/>
    <w:rsid w:val="006D7B67"/>
    <w:rsid w:val="006E37C6"/>
    <w:rsid w:val="006F252A"/>
    <w:rsid w:val="006F5707"/>
    <w:rsid w:val="0071060B"/>
    <w:rsid w:val="0071326E"/>
    <w:rsid w:val="007134CC"/>
    <w:rsid w:val="00723B94"/>
    <w:rsid w:val="007260E9"/>
    <w:rsid w:val="00731DFB"/>
    <w:rsid w:val="00734391"/>
    <w:rsid w:val="007364B7"/>
    <w:rsid w:val="00737EB7"/>
    <w:rsid w:val="0074245B"/>
    <w:rsid w:val="00743201"/>
    <w:rsid w:val="00755107"/>
    <w:rsid w:val="00755589"/>
    <w:rsid w:val="00764F9B"/>
    <w:rsid w:val="00767116"/>
    <w:rsid w:val="00776068"/>
    <w:rsid w:val="00777809"/>
    <w:rsid w:val="00784285"/>
    <w:rsid w:val="007861FD"/>
    <w:rsid w:val="007A3C14"/>
    <w:rsid w:val="007B791B"/>
    <w:rsid w:val="007C2C43"/>
    <w:rsid w:val="007D01B2"/>
    <w:rsid w:val="007E491D"/>
    <w:rsid w:val="007E7008"/>
    <w:rsid w:val="007F3FA2"/>
    <w:rsid w:val="007F653E"/>
    <w:rsid w:val="008127B2"/>
    <w:rsid w:val="00815AEC"/>
    <w:rsid w:val="008236E0"/>
    <w:rsid w:val="00826912"/>
    <w:rsid w:val="0083158A"/>
    <w:rsid w:val="00834D87"/>
    <w:rsid w:val="00834E11"/>
    <w:rsid w:val="008411E1"/>
    <w:rsid w:val="00842894"/>
    <w:rsid w:val="008434AF"/>
    <w:rsid w:val="00844896"/>
    <w:rsid w:val="008451B0"/>
    <w:rsid w:val="00852C79"/>
    <w:rsid w:val="00875B31"/>
    <w:rsid w:val="00876005"/>
    <w:rsid w:val="00894A77"/>
    <w:rsid w:val="008A0DCD"/>
    <w:rsid w:val="008A2146"/>
    <w:rsid w:val="008A4A58"/>
    <w:rsid w:val="008A72FC"/>
    <w:rsid w:val="008B6098"/>
    <w:rsid w:val="008B69D3"/>
    <w:rsid w:val="008C3E33"/>
    <w:rsid w:val="008C4E2B"/>
    <w:rsid w:val="008D3D67"/>
    <w:rsid w:val="008D4B91"/>
    <w:rsid w:val="008E2CC7"/>
    <w:rsid w:val="008E7F61"/>
    <w:rsid w:val="008F12CB"/>
    <w:rsid w:val="008F1829"/>
    <w:rsid w:val="008F4976"/>
    <w:rsid w:val="008F5F51"/>
    <w:rsid w:val="00901166"/>
    <w:rsid w:val="00902BBB"/>
    <w:rsid w:val="009048C7"/>
    <w:rsid w:val="00910B31"/>
    <w:rsid w:val="00914C82"/>
    <w:rsid w:val="009201D4"/>
    <w:rsid w:val="0092737E"/>
    <w:rsid w:val="00927682"/>
    <w:rsid w:val="0092785C"/>
    <w:rsid w:val="00942C62"/>
    <w:rsid w:val="00956384"/>
    <w:rsid w:val="00965336"/>
    <w:rsid w:val="00974388"/>
    <w:rsid w:val="00974909"/>
    <w:rsid w:val="00984528"/>
    <w:rsid w:val="00987755"/>
    <w:rsid w:val="009969F1"/>
    <w:rsid w:val="00996F13"/>
    <w:rsid w:val="009A6A26"/>
    <w:rsid w:val="009B2950"/>
    <w:rsid w:val="009D0651"/>
    <w:rsid w:val="009D6677"/>
    <w:rsid w:val="009D75B9"/>
    <w:rsid w:val="009E0205"/>
    <w:rsid w:val="009F3DA4"/>
    <w:rsid w:val="00A06B75"/>
    <w:rsid w:val="00A21968"/>
    <w:rsid w:val="00A31A01"/>
    <w:rsid w:val="00A32D6E"/>
    <w:rsid w:val="00A41B14"/>
    <w:rsid w:val="00A72456"/>
    <w:rsid w:val="00A732C1"/>
    <w:rsid w:val="00A75D5D"/>
    <w:rsid w:val="00A7695C"/>
    <w:rsid w:val="00A830D4"/>
    <w:rsid w:val="00A85378"/>
    <w:rsid w:val="00A867F5"/>
    <w:rsid w:val="00A94287"/>
    <w:rsid w:val="00A94CC1"/>
    <w:rsid w:val="00AA02BB"/>
    <w:rsid w:val="00AA05FA"/>
    <w:rsid w:val="00AA1B47"/>
    <w:rsid w:val="00AB2FFE"/>
    <w:rsid w:val="00AC00AB"/>
    <w:rsid w:val="00AD2629"/>
    <w:rsid w:val="00AD3A4D"/>
    <w:rsid w:val="00AD4587"/>
    <w:rsid w:val="00AD5C23"/>
    <w:rsid w:val="00AE1B4F"/>
    <w:rsid w:val="00AE6C0A"/>
    <w:rsid w:val="00AF6EAD"/>
    <w:rsid w:val="00AF7B67"/>
    <w:rsid w:val="00B03F38"/>
    <w:rsid w:val="00B04FE0"/>
    <w:rsid w:val="00B06190"/>
    <w:rsid w:val="00B0626D"/>
    <w:rsid w:val="00B06B34"/>
    <w:rsid w:val="00B20ABF"/>
    <w:rsid w:val="00B2676C"/>
    <w:rsid w:val="00B30184"/>
    <w:rsid w:val="00B32090"/>
    <w:rsid w:val="00B4634B"/>
    <w:rsid w:val="00B467BD"/>
    <w:rsid w:val="00B50842"/>
    <w:rsid w:val="00B53679"/>
    <w:rsid w:val="00B6049C"/>
    <w:rsid w:val="00B63465"/>
    <w:rsid w:val="00B64866"/>
    <w:rsid w:val="00B677EA"/>
    <w:rsid w:val="00B74741"/>
    <w:rsid w:val="00B84D6B"/>
    <w:rsid w:val="00B85F4F"/>
    <w:rsid w:val="00B918A8"/>
    <w:rsid w:val="00B92109"/>
    <w:rsid w:val="00B9676F"/>
    <w:rsid w:val="00B96B58"/>
    <w:rsid w:val="00BB159A"/>
    <w:rsid w:val="00BB349B"/>
    <w:rsid w:val="00BB7FCF"/>
    <w:rsid w:val="00BC4EE4"/>
    <w:rsid w:val="00BC7570"/>
    <w:rsid w:val="00BD1DFE"/>
    <w:rsid w:val="00BD47E8"/>
    <w:rsid w:val="00BD5962"/>
    <w:rsid w:val="00BD7973"/>
    <w:rsid w:val="00BE37D6"/>
    <w:rsid w:val="00BE6BA1"/>
    <w:rsid w:val="00BF0D86"/>
    <w:rsid w:val="00C029A4"/>
    <w:rsid w:val="00C142A5"/>
    <w:rsid w:val="00C16656"/>
    <w:rsid w:val="00C3458B"/>
    <w:rsid w:val="00C44C48"/>
    <w:rsid w:val="00C50DAB"/>
    <w:rsid w:val="00C54BA2"/>
    <w:rsid w:val="00C66ED4"/>
    <w:rsid w:val="00C70E12"/>
    <w:rsid w:val="00C72084"/>
    <w:rsid w:val="00C81AD6"/>
    <w:rsid w:val="00C83DBD"/>
    <w:rsid w:val="00C8720A"/>
    <w:rsid w:val="00C958F7"/>
    <w:rsid w:val="00C96281"/>
    <w:rsid w:val="00CA0427"/>
    <w:rsid w:val="00CA0820"/>
    <w:rsid w:val="00CA77A6"/>
    <w:rsid w:val="00CB4AFE"/>
    <w:rsid w:val="00CB66B3"/>
    <w:rsid w:val="00CB7823"/>
    <w:rsid w:val="00CC079F"/>
    <w:rsid w:val="00CC267F"/>
    <w:rsid w:val="00CC2776"/>
    <w:rsid w:val="00CD0EFA"/>
    <w:rsid w:val="00CD2920"/>
    <w:rsid w:val="00CE3EC5"/>
    <w:rsid w:val="00CE7417"/>
    <w:rsid w:val="00CF173E"/>
    <w:rsid w:val="00CF602C"/>
    <w:rsid w:val="00D006D7"/>
    <w:rsid w:val="00D023CC"/>
    <w:rsid w:val="00D033B5"/>
    <w:rsid w:val="00D0416B"/>
    <w:rsid w:val="00D1290F"/>
    <w:rsid w:val="00D175EA"/>
    <w:rsid w:val="00D2195C"/>
    <w:rsid w:val="00D351E3"/>
    <w:rsid w:val="00D374F3"/>
    <w:rsid w:val="00D3767A"/>
    <w:rsid w:val="00D50B25"/>
    <w:rsid w:val="00D54701"/>
    <w:rsid w:val="00D561D9"/>
    <w:rsid w:val="00D67361"/>
    <w:rsid w:val="00D70754"/>
    <w:rsid w:val="00D74B56"/>
    <w:rsid w:val="00D77ABE"/>
    <w:rsid w:val="00D83370"/>
    <w:rsid w:val="00D842FB"/>
    <w:rsid w:val="00D84474"/>
    <w:rsid w:val="00D9249E"/>
    <w:rsid w:val="00D95901"/>
    <w:rsid w:val="00D97DCE"/>
    <w:rsid w:val="00DA0503"/>
    <w:rsid w:val="00DA19F2"/>
    <w:rsid w:val="00DA6936"/>
    <w:rsid w:val="00DB1BAE"/>
    <w:rsid w:val="00DB2CD6"/>
    <w:rsid w:val="00DB3CCD"/>
    <w:rsid w:val="00DC38F2"/>
    <w:rsid w:val="00DC6190"/>
    <w:rsid w:val="00DE56FA"/>
    <w:rsid w:val="00DF14B6"/>
    <w:rsid w:val="00DF70FB"/>
    <w:rsid w:val="00E021E3"/>
    <w:rsid w:val="00E061AF"/>
    <w:rsid w:val="00E07951"/>
    <w:rsid w:val="00E07B92"/>
    <w:rsid w:val="00E13AC8"/>
    <w:rsid w:val="00E2412B"/>
    <w:rsid w:val="00E256DB"/>
    <w:rsid w:val="00E27AB1"/>
    <w:rsid w:val="00E319BA"/>
    <w:rsid w:val="00E32322"/>
    <w:rsid w:val="00E419B5"/>
    <w:rsid w:val="00E42225"/>
    <w:rsid w:val="00E44490"/>
    <w:rsid w:val="00E54199"/>
    <w:rsid w:val="00E5462F"/>
    <w:rsid w:val="00E70305"/>
    <w:rsid w:val="00E717C5"/>
    <w:rsid w:val="00E73EF2"/>
    <w:rsid w:val="00E84441"/>
    <w:rsid w:val="00E90C98"/>
    <w:rsid w:val="00E90E35"/>
    <w:rsid w:val="00E93A61"/>
    <w:rsid w:val="00E96B79"/>
    <w:rsid w:val="00EA1B7E"/>
    <w:rsid w:val="00EA205A"/>
    <w:rsid w:val="00EB5275"/>
    <w:rsid w:val="00EB5E42"/>
    <w:rsid w:val="00EB5EB1"/>
    <w:rsid w:val="00EC301C"/>
    <w:rsid w:val="00ED03E2"/>
    <w:rsid w:val="00ED515F"/>
    <w:rsid w:val="00EE0513"/>
    <w:rsid w:val="00EE24E6"/>
    <w:rsid w:val="00EE308E"/>
    <w:rsid w:val="00EE4501"/>
    <w:rsid w:val="00EE47BC"/>
    <w:rsid w:val="00EF0158"/>
    <w:rsid w:val="00F01B1E"/>
    <w:rsid w:val="00F13B42"/>
    <w:rsid w:val="00F246A4"/>
    <w:rsid w:val="00F37309"/>
    <w:rsid w:val="00F454BC"/>
    <w:rsid w:val="00F60208"/>
    <w:rsid w:val="00F66899"/>
    <w:rsid w:val="00F67A41"/>
    <w:rsid w:val="00F70261"/>
    <w:rsid w:val="00F76FE7"/>
    <w:rsid w:val="00F779D6"/>
    <w:rsid w:val="00F77E47"/>
    <w:rsid w:val="00F810BB"/>
    <w:rsid w:val="00F925B5"/>
    <w:rsid w:val="00F95BB1"/>
    <w:rsid w:val="00F96B93"/>
    <w:rsid w:val="00FA0E6F"/>
    <w:rsid w:val="00FB5957"/>
    <w:rsid w:val="00FB5D3C"/>
    <w:rsid w:val="00FB5D97"/>
    <w:rsid w:val="00FC3728"/>
    <w:rsid w:val="00FD313D"/>
    <w:rsid w:val="00FD4A18"/>
    <w:rsid w:val="00FD4F94"/>
    <w:rsid w:val="00FD55CC"/>
    <w:rsid w:val="00FD57EA"/>
    <w:rsid w:val="00FE3480"/>
    <w:rsid w:val="00FE3489"/>
    <w:rsid w:val="01021EB0"/>
    <w:rsid w:val="01070AF9"/>
    <w:rsid w:val="03066944"/>
    <w:rsid w:val="03101F14"/>
    <w:rsid w:val="03A83B1F"/>
    <w:rsid w:val="04145550"/>
    <w:rsid w:val="041551D7"/>
    <w:rsid w:val="09081534"/>
    <w:rsid w:val="09D24347"/>
    <w:rsid w:val="0A28755B"/>
    <w:rsid w:val="0A7F46C9"/>
    <w:rsid w:val="0B3F5A01"/>
    <w:rsid w:val="0B854ADB"/>
    <w:rsid w:val="0C8D3125"/>
    <w:rsid w:val="12B32FBA"/>
    <w:rsid w:val="163A2906"/>
    <w:rsid w:val="176418AF"/>
    <w:rsid w:val="182127A7"/>
    <w:rsid w:val="1CD61F46"/>
    <w:rsid w:val="1F4B0BE5"/>
    <w:rsid w:val="1FE55560"/>
    <w:rsid w:val="205237BA"/>
    <w:rsid w:val="220B0234"/>
    <w:rsid w:val="25213E45"/>
    <w:rsid w:val="258624B6"/>
    <w:rsid w:val="27EE2290"/>
    <w:rsid w:val="281F75E5"/>
    <w:rsid w:val="2AA3089A"/>
    <w:rsid w:val="2B704924"/>
    <w:rsid w:val="36B10648"/>
    <w:rsid w:val="391B682D"/>
    <w:rsid w:val="39610562"/>
    <w:rsid w:val="3B922794"/>
    <w:rsid w:val="3E976C7C"/>
    <w:rsid w:val="3F744629"/>
    <w:rsid w:val="41896715"/>
    <w:rsid w:val="42925173"/>
    <w:rsid w:val="44636A81"/>
    <w:rsid w:val="461572F8"/>
    <w:rsid w:val="49585EC0"/>
    <w:rsid w:val="4A6C2B28"/>
    <w:rsid w:val="4B367C72"/>
    <w:rsid w:val="4CB76918"/>
    <w:rsid w:val="4CEA671B"/>
    <w:rsid w:val="4F203DE0"/>
    <w:rsid w:val="50835C26"/>
    <w:rsid w:val="50D90BB3"/>
    <w:rsid w:val="51174AC8"/>
    <w:rsid w:val="534F37BA"/>
    <w:rsid w:val="53AE4E59"/>
    <w:rsid w:val="554D1082"/>
    <w:rsid w:val="56B228E9"/>
    <w:rsid w:val="5885158D"/>
    <w:rsid w:val="5A21156A"/>
    <w:rsid w:val="5A6E746B"/>
    <w:rsid w:val="5AAF76CB"/>
    <w:rsid w:val="5BDB3CD7"/>
    <w:rsid w:val="5CF30D8E"/>
    <w:rsid w:val="606345B3"/>
    <w:rsid w:val="61564608"/>
    <w:rsid w:val="624A72D8"/>
    <w:rsid w:val="62C3510D"/>
    <w:rsid w:val="64F565B0"/>
    <w:rsid w:val="65E36238"/>
    <w:rsid w:val="6A9D2E68"/>
    <w:rsid w:val="70DF4B69"/>
    <w:rsid w:val="71456134"/>
    <w:rsid w:val="744F7262"/>
    <w:rsid w:val="74A259E7"/>
    <w:rsid w:val="75345364"/>
    <w:rsid w:val="755E4C43"/>
    <w:rsid w:val="778979A9"/>
    <w:rsid w:val="77BF7E83"/>
    <w:rsid w:val="7A891C90"/>
    <w:rsid w:val="7B812AAC"/>
    <w:rsid w:val="7CCF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6"/>
    <w:qFormat/>
    <w:uiPriority w:val="0"/>
    <w:pPr>
      <w:keepNext/>
      <w:spacing w:line="360" w:lineRule="atLeast"/>
      <w:jc w:val="center"/>
      <w:outlineLvl w:val="0"/>
    </w:pPr>
    <w:rPr>
      <w:rFonts w:ascii=".VnTimeH" w:hAnsi=".VnTimeH"/>
      <w:b/>
      <w:sz w:val="28"/>
      <w:szCs w:val="2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qFormat/>
    <w:uiPriority w:val="0"/>
    <w:rPr>
      <w:rFonts w:ascii="Segoe UI" w:hAnsi="Segoe UI" w:cs="Segoe UI"/>
      <w:sz w:val="18"/>
      <w:szCs w:val="18"/>
    </w:rPr>
  </w:style>
  <w:style w:type="paragraph" w:styleId="6">
    <w:name w:val="footer"/>
    <w:basedOn w:val="1"/>
    <w:qFormat/>
    <w:uiPriority w:val="0"/>
    <w:pPr>
      <w:tabs>
        <w:tab w:val="center" w:pos="4320"/>
        <w:tab w:val="right" w:pos="8640"/>
      </w:tabs>
    </w:pPr>
  </w:style>
  <w:style w:type="paragraph" w:styleId="7">
    <w:name w:val="header"/>
    <w:basedOn w:val="1"/>
    <w:link w:val="14"/>
    <w:qFormat/>
    <w:uiPriority w:val="99"/>
    <w:pPr>
      <w:tabs>
        <w:tab w:val="center" w:pos="4680"/>
        <w:tab w:val="right" w:pos="9360"/>
      </w:tabs>
    </w:pPr>
  </w:style>
  <w:style w:type="character" w:styleId="8">
    <w:name w:val="Hyperlink"/>
    <w:basedOn w:val="3"/>
    <w:unhideWhenUsed/>
    <w:qFormat/>
    <w:uiPriority w:val="99"/>
    <w:rPr>
      <w:color w:val="0000FF"/>
      <w:u w:val="single"/>
    </w:rPr>
  </w:style>
  <w:style w:type="paragraph" w:styleId="9">
    <w:name w:val="Normal (Web)"/>
    <w:basedOn w:val="1"/>
    <w:link w:val="18"/>
    <w:qFormat/>
    <w:uiPriority w:val="99"/>
    <w:pPr>
      <w:spacing w:before="100" w:beforeAutospacing="1" w:after="100" w:afterAutospacing="1"/>
    </w:pPr>
  </w:style>
  <w:style w:type="character" w:styleId="10">
    <w:name w:val="page number"/>
    <w:basedOn w:val="3"/>
    <w:qFormat/>
    <w:uiPriority w:val="0"/>
  </w:style>
  <w:style w:type="character" w:styleId="11">
    <w:name w:val="Strong"/>
    <w:qFormat/>
    <w:uiPriority w:val="0"/>
    <w:rPr>
      <w:b/>
      <w:bCs/>
    </w:rPr>
  </w:style>
  <w:style w:type="table" w:styleId="12">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Char Char Char Char Char Char Char Char Char Char Char Char Char Char Char Char"/>
    <w:basedOn w:val="1"/>
    <w:semiHidden/>
    <w:qFormat/>
    <w:uiPriority w:val="0"/>
    <w:pPr>
      <w:spacing w:after="160" w:line="240" w:lineRule="exact"/>
    </w:pPr>
    <w:rPr>
      <w:rFonts w:ascii="Arial" w:hAnsi="Arial"/>
      <w:sz w:val="22"/>
      <w:szCs w:val="22"/>
    </w:rPr>
  </w:style>
  <w:style w:type="character" w:customStyle="1" w:styleId="14">
    <w:name w:val="Header Char"/>
    <w:link w:val="7"/>
    <w:qFormat/>
    <w:uiPriority w:val="99"/>
    <w:rPr>
      <w:sz w:val="24"/>
      <w:szCs w:val="24"/>
    </w:rPr>
  </w:style>
  <w:style w:type="character" w:customStyle="1" w:styleId="15">
    <w:name w:val="Heading 1 Char"/>
    <w:qFormat/>
    <w:uiPriority w:val="0"/>
    <w:rPr>
      <w:rFonts w:ascii="Calibri Light" w:hAnsi="Calibri Light" w:eastAsia="Times New Roman" w:cs="Times New Roman"/>
      <w:b/>
      <w:bCs/>
      <w:kern w:val="32"/>
      <w:sz w:val="32"/>
      <w:szCs w:val="32"/>
    </w:rPr>
  </w:style>
  <w:style w:type="character" w:customStyle="1" w:styleId="16">
    <w:name w:val="Heading 1 Char1"/>
    <w:link w:val="2"/>
    <w:qFormat/>
    <w:uiPriority w:val="0"/>
    <w:rPr>
      <w:rFonts w:ascii=".VnTimeH" w:hAnsi=".VnTimeH"/>
      <w:b/>
      <w:sz w:val="28"/>
    </w:rPr>
  </w:style>
  <w:style w:type="character" w:customStyle="1" w:styleId="17">
    <w:name w:val="Balloon Text Char"/>
    <w:link w:val="5"/>
    <w:qFormat/>
    <w:uiPriority w:val="0"/>
    <w:rPr>
      <w:rFonts w:ascii="Segoe UI" w:hAnsi="Segoe UI" w:cs="Segoe UI"/>
      <w:sz w:val="18"/>
      <w:szCs w:val="18"/>
    </w:rPr>
  </w:style>
  <w:style w:type="character" w:customStyle="1" w:styleId="18">
    <w:name w:val="Normal (Web) Char"/>
    <w:link w:val="9"/>
    <w:qFormat/>
    <w:uiPriority w:val="99"/>
    <w:rPr>
      <w:sz w:val="24"/>
      <w:szCs w:val="24"/>
    </w:rPr>
  </w:style>
  <w:style w:type="paragraph" w:styleId="19">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&lt;egyptian hak&gt;</Company>
  <Pages>3</Pages>
  <Words>778</Words>
  <Characters>4441</Characters>
  <Lines>37</Lines>
  <Paragraphs>10</Paragraphs>
  <TotalTime>36</TotalTime>
  <ScaleCrop>false</ScaleCrop>
  <LinksUpToDate>false</LinksUpToDate>
  <CharactersWithSpaces>5209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2025-11-11T08:59:00Z</dcterms:created>
  <dc:creator>thang2301@gmail.com</dc:creator>
  <cp:lastModifiedBy>Duyên Lê</cp:lastModifiedBy>
  <cp:lastPrinted>2025-08-25T10:49:00Z</cp:lastPrinted>
  <dcterms:modified xsi:type="dcterms:W3CDTF">2025-11-11T15:57:20Z</dcterms:modified>
  <dc:title>UBND TỈNH KHÁNH HOÀ</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42243C30F6E845CD8B43D7A42BF45713_13</vt:lpwstr>
  </property>
</Properties>
</file>